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01" w:rsidRPr="00330701" w:rsidRDefault="006E326A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September 2017 </w:t>
      </w:r>
      <w:r w:rsidR="00330701" w:rsidRPr="00330701">
        <w:rPr>
          <w:b/>
          <w:sz w:val="28"/>
        </w:rPr>
        <w:t>Hackathon Data Sets, Links, and Research Studies</w:t>
      </w:r>
    </w:p>
    <w:p w:rsidR="00AD52F4" w:rsidRDefault="00AD52F4" w:rsidP="0058190C">
      <w:pPr>
        <w:spacing w:after="0"/>
        <w:rPr>
          <w:u w:val="single"/>
        </w:rPr>
      </w:pPr>
    </w:p>
    <w:p w:rsidR="0058190C" w:rsidRPr="0013420D" w:rsidRDefault="00FF4AA8" w:rsidP="002A3D6F">
      <w:pPr>
        <w:spacing w:after="0"/>
        <w:rPr>
          <w:b/>
          <w:color w:val="4F6228" w:themeColor="accent3" w:themeShade="80"/>
          <w:sz w:val="24"/>
          <w:u w:val="single"/>
        </w:rPr>
      </w:pPr>
      <w:r w:rsidRPr="0013420D">
        <w:rPr>
          <w:b/>
          <w:color w:val="4F6228" w:themeColor="accent3" w:themeShade="80"/>
          <w:sz w:val="24"/>
          <w:u w:val="single"/>
        </w:rPr>
        <w:t>D</w:t>
      </w:r>
      <w:r w:rsidR="0058190C" w:rsidRPr="0013420D">
        <w:rPr>
          <w:b/>
          <w:color w:val="4F6228" w:themeColor="accent3" w:themeShade="80"/>
          <w:sz w:val="24"/>
          <w:u w:val="single"/>
        </w:rPr>
        <w:t>efinition</w:t>
      </w:r>
      <w:r w:rsidRPr="0013420D">
        <w:rPr>
          <w:b/>
          <w:color w:val="4F6228" w:themeColor="accent3" w:themeShade="80"/>
          <w:sz w:val="24"/>
          <w:u w:val="single"/>
        </w:rPr>
        <w:t>s</w:t>
      </w:r>
      <w:r w:rsidR="0058190C" w:rsidRPr="0013420D">
        <w:rPr>
          <w:b/>
          <w:color w:val="4F6228" w:themeColor="accent3" w:themeShade="80"/>
          <w:sz w:val="24"/>
          <w:u w:val="single"/>
        </w:rPr>
        <w:t xml:space="preserve"> of</w:t>
      </w:r>
      <w:r w:rsidRPr="0013420D">
        <w:rPr>
          <w:b/>
          <w:color w:val="4F6228" w:themeColor="accent3" w:themeShade="80"/>
          <w:sz w:val="24"/>
          <w:u w:val="single"/>
        </w:rPr>
        <w:t xml:space="preserve"> food security, food insecurity, and hunger</w:t>
      </w:r>
    </w:p>
    <w:p w:rsidR="006B33E1" w:rsidRDefault="00E22406">
      <w:r w:rsidRPr="005D3E10">
        <w:rPr>
          <w:b/>
          <w:i/>
        </w:rPr>
        <w:t>Food security:</w:t>
      </w:r>
      <w:r>
        <w:t xml:space="preserve"> access by all people at all times to enough food for an active, healthy life.</w:t>
      </w:r>
    </w:p>
    <w:p w:rsidR="00330701" w:rsidRDefault="00E22406">
      <w:r w:rsidRPr="005D3E10">
        <w:rPr>
          <w:b/>
          <w:i/>
        </w:rPr>
        <w:t>Food insecurity:</w:t>
      </w:r>
      <w:r>
        <w:t xml:space="preserve"> </w:t>
      </w:r>
      <w:r w:rsidR="00AB14E4">
        <w:t xml:space="preserve">limited or uncertain availability of nutritionally adequate and safe foods or limited or uncertain ability to acquire acceptable foods in socially acceptable ways. </w:t>
      </w:r>
    </w:p>
    <w:p w:rsidR="00E22406" w:rsidRDefault="00E22406">
      <w:r w:rsidRPr="005D3E10">
        <w:rPr>
          <w:b/>
          <w:i/>
        </w:rPr>
        <w:t>Hunger:</w:t>
      </w:r>
      <w:r>
        <w:t xml:space="preserve"> the uneasy or painful sensation caused by a lack of food, the recurrent and involuntary lack of access to food. Hunger may produce malnutrition over time. Hunger is a potential though not necessary, consequence of food insecurity.</w:t>
      </w:r>
    </w:p>
    <w:p w:rsidR="00E0079D" w:rsidRDefault="00E0079D">
      <w:r>
        <w:t xml:space="preserve">For more information </w:t>
      </w:r>
      <w:r w:rsidR="002A3D6F">
        <w:t>on definitions</w:t>
      </w:r>
      <w:proofErr w:type="gramStart"/>
      <w:r>
        <w:t>:</w:t>
      </w:r>
      <w:proofErr w:type="gramEnd"/>
      <w:r>
        <w:fldChar w:fldCharType="begin"/>
      </w:r>
      <w:r>
        <w:instrText xml:space="preserve"> HYPERLINK "</w:instrText>
      </w:r>
      <w:r w:rsidRPr="00373468">
        <w:instrText>https://www.ers.usda.gov/topics/food-nutrition-assistance/food-security-in-the-us/definitions-of-food-security/</w:instrText>
      </w:r>
      <w:r>
        <w:instrText xml:space="preserve">" </w:instrText>
      </w:r>
      <w:r>
        <w:fldChar w:fldCharType="separate"/>
      </w:r>
      <w:r w:rsidRPr="00574D5C">
        <w:rPr>
          <w:rStyle w:val="Hyperlink"/>
        </w:rPr>
        <w:t>https://www.ers.usda.gov/topics/food-nutrition-assistance/food-security-in-the-us/definitions-of-food-security/</w:t>
      </w:r>
      <w:r>
        <w:fldChar w:fldCharType="end"/>
      </w:r>
      <w:r w:rsidR="0004723E">
        <w:t xml:space="preserve"> </w:t>
      </w:r>
    </w:p>
    <w:p w:rsidR="0004723E" w:rsidRDefault="0004723E"/>
    <w:p w:rsidR="00E0079D" w:rsidRPr="0013420D" w:rsidRDefault="00E0079D" w:rsidP="002A3D6F">
      <w:pPr>
        <w:spacing w:after="0"/>
        <w:rPr>
          <w:b/>
          <w:color w:val="4F6228" w:themeColor="accent3" w:themeShade="80"/>
          <w:sz w:val="24"/>
          <w:u w:val="single"/>
        </w:rPr>
      </w:pPr>
      <w:r w:rsidRPr="0013420D">
        <w:rPr>
          <w:b/>
          <w:color w:val="4F6228" w:themeColor="accent3" w:themeShade="80"/>
          <w:sz w:val="24"/>
          <w:u w:val="single"/>
        </w:rPr>
        <w:t>Measurement of food security and insecurity</w:t>
      </w:r>
    </w:p>
    <w:p w:rsidR="00410F3D" w:rsidRDefault="00E0079D">
      <w:r>
        <w:t>Food security statistics are based on a</w:t>
      </w:r>
      <w:r w:rsidR="00410F3D">
        <w:t xml:space="preserve"> 10 to 18 question</w:t>
      </w:r>
      <w:r>
        <w:t xml:space="preserve"> national food security survey conducted as an annual supplement to the U.S. Census Current Population Survey</w:t>
      </w:r>
      <w:r w:rsidR="00410F3D">
        <w:t xml:space="preserve"> (10 questions for households with no children, 18 questions for households with children</w:t>
      </w:r>
      <w:r>
        <w:t xml:space="preserve">. </w:t>
      </w:r>
      <w:r w:rsidR="00FF4AA8" w:rsidRPr="00E0079D">
        <w:t xml:space="preserve"> </w:t>
      </w:r>
    </w:p>
    <w:p w:rsidR="00410F3D" w:rsidRDefault="00410F3D" w:rsidP="00410F3D">
      <w:r>
        <w:t xml:space="preserve">In data set folder: </w:t>
      </w:r>
    </w:p>
    <w:p w:rsidR="00410F3D" w:rsidRDefault="00410F3D" w:rsidP="00410F3D">
      <w:pPr>
        <w:spacing w:after="0"/>
        <w:ind w:firstLine="720"/>
        <w:rPr>
          <w:i/>
        </w:rPr>
      </w:pPr>
      <w:proofErr w:type="gramStart"/>
      <w:r w:rsidRPr="008A28E6">
        <w:rPr>
          <w:i/>
        </w:rPr>
        <w:t>10 - 18 Question Food Security Screen.docx</w:t>
      </w:r>
      <w:proofErr w:type="gramEnd"/>
      <w:r>
        <w:rPr>
          <w:i/>
        </w:rPr>
        <w:t xml:space="preserve"> </w:t>
      </w:r>
    </w:p>
    <w:p w:rsidR="00410F3D" w:rsidRPr="00A27589" w:rsidRDefault="00410F3D" w:rsidP="00410F3D">
      <w:pPr>
        <w:ind w:left="720"/>
        <w:rPr>
          <w:i/>
        </w:rPr>
      </w:pPr>
      <w:r>
        <w:t xml:space="preserve">Full 10-18 question Food Security Screen. Also, </w:t>
      </w:r>
      <w:hyperlink r:id="rId9" w:history="1">
        <w:r w:rsidRPr="00F83B3D">
          <w:rPr>
            <w:rStyle w:val="Hyperlink"/>
          </w:rPr>
          <w:t>https://www.ers.usda.gov/topics/food-nutrition-assistance/food-security-in-the-us/survey-tools/</w:t>
        </w:r>
      </w:hyperlink>
    </w:p>
    <w:p w:rsidR="00410F3D" w:rsidRDefault="00410F3D" w:rsidP="00410F3D">
      <w:pPr>
        <w:ind w:left="720"/>
      </w:pPr>
      <w:proofErr w:type="gramStart"/>
      <w:r w:rsidRPr="00C70B6A">
        <w:rPr>
          <w:i/>
        </w:rPr>
        <w:t>6 Question Food Security Screen.docx</w:t>
      </w:r>
      <w:r>
        <w:br/>
        <w:t>Short Form Food Security Screen to assess food security, less respondent burden than full screen, with slightly less precision and reliability.</w:t>
      </w:r>
      <w:proofErr w:type="gramEnd"/>
      <w:r>
        <w:t xml:space="preserve"> Also, </w:t>
      </w:r>
      <w:hyperlink r:id="rId10" w:history="1">
        <w:r w:rsidRPr="003E0BF0">
          <w:rPr>
            <w:rStyle w:val="Hyperlink"/>
          </w:rPr>
          <w:t>https://www.ers.usda.gov/media/8282/short2012.pdf</w:t>
        </w:r>
      </w:hyperlink>
      <w:r>
        <w:t xml:space="preserve"> </w:t>
      </w:r>
    </w:p>
    <w:p w:rsidR="00410F3D" w:rsidRDefault="00410F3D" w:rsidP="00410F3D">
      <w:pPr>
        <w:ind w:left="720"/>
      </w:pPr>
      <w:r w:rsidRPr="00C70B6A">
        <w:rPr>
          <w:i/>
        </w:rPr>
        <w:t>2 Question Food Security Screen.docx</w:t>
      </w:r>
      <w:r>
        <w:br/>
        <w:t xml:space="preserve">Abridged </w:t>
      </w:r>
      <w:proofErr w:type="gramStart"/>
      <w:r>
        <w:t>version</w:t>
      </w:r>
      <w:proofErr w:type="gramEnd"/>
      <w:r>
        <w:t xml:space="preserve"> to minimize respondent burden, assess </w:t>
      </w:r>
      <w:r w:rsidRPr="00C70B6A">
        <w:rPr>
          <w:u w:val="single"/>
        </w:rPr>
        <w:t>risk</w:t>
      </w:r>
      <w:r>
        <w:t xml:space="preserve"> of household food security specifically among low-income families with young children (though it is widely used for other populations as well). Also, </w:t>
      </w:r>
      <w:hyperlink r:id="rId11" w:history="1">
        <w:r w:rsidRPr="00F83B3D">
          <w:rPr>
            <w:rStyle w:val="Hyperlink"/>
          </w:rPr>
          <w:t>http://www.centerforhungerfreecommunities.org/sites/default/files/pdfs/2_Item_Screener.pdf</w:t>
        </w:r>
      </w:hyperlink>
    </w:p>
    <w:p w:rsidR="00FF4AA8" w:rsidRPr="00E0079D" w:rsidRDefault="00410F3D">
      <w:r>
        <w:t xml:space="preserve">The </w:t>
      </w:r>
      <w:r w:rsidR="00E0079D">
        <w:t>United States Department of Agriculture describes</w:t>
      </w:r>
      <w:r w:rsidR="00E0079D" w:rsidRPr="00E0079D">
        <w:t xml:space="preserve"> ranges of food security</w:t>
      </w:r>
      <w:r w:rsidR="00E0079D">
        <w:t xml:space="preserve"> below based on the responses to this survey. </w:t>
      </w:r>
    </w:p>
    <w:p w:rsidR="00FF4AA8" w:rsidRPr="005D3E10" w:rsidRDefault="00FF4AA8" w:rsidP="00410F3D">
      <w:pPr>
        <w:ind w:firstLine="720"/>
        <w:rPr>
          <w:b/>
          <w:i/>
        </w:rPr>
      </w:pPr>
      <w:r w:rsidRPr="005D3E10">
        <w:rPr>
          <w:b/>
          <w:i/>
        </w:rPr>
        <w:t>Food Security</w:t>
      </w:r>
    </w:p>
    <w:p w:rsidR="00FF4AA8" w:rsidRDefault="00FF4AA8" w:rsidP="00FF4AA8">
      <w:pPr>
        <w:ind w:left="720"/>
      </w:pPr>
      <w:r>
        <w:t>High food security: no reported indications of food access problems or limitations.</w:t>
      </w:r>
    </w:p>
    <w:p w:rsidR="00410F3D" w:rsidRPr="0004723E" w:rsidRDefault="00FF4AA8" w:rsidP="0004723E">
      <w:pPr>
        <w:ind w:left="720"/>
      </w:pPr>
      <w:r>
        <w:lastRenderedPageBreak/>
        <w:t xml:space="preserve">Marginal food security: one or two reported indications – typically of anxiety over food sufficiency or shortage of food in the house. </w:t>
      </w:r>
      <w:proofErr w:type="gramStart"/>
      <w:r>
        <w:t>Little or no indication of c</w:t>
      </w:r>
      <w:r w:rsidR="0004723E">
        <w:t>hanges in diets or food intake.</w:t>
      </w:r>
      <w:proofErr w:type="gramEnd"/>
    </w:p>
    <w:p w:rsidR="00FF4AA8" w:rsidRPr="005D3E10" w:rsidRDefault="00FF4AA8" w:rsidP="00410F3D">
      <w:pPr>
        <w:ind w:firstLine="720"/>
        <w:rPr>
          <w:b/>
          <w:i/>
        </w:rPr>
      </w:pPr>
      <w:r w:rsidRPr="005D3E10">
        <w:rPr>
          <w:b/>
          <w:i/>
        </w:rPr>
        <w:t>Food Insecurity</w:t>
      </w:r>
      <w:r w:rsidR="00505D13" w:rsidRPr="005D3E10">
        <w:rPr>
          <w:b/>
          <w:i/>
        </w:rPr>
        <w:t xml:space="preserve"> </w:t>
      </w:r>
    </w:p>
    <w:p w:rsidR="00FF4AA8" w:rsidRDefault="00FF4AA8" w:rsidP="00FF4AA8">
      <w:pPr>
        <w:ind w:left="720"/>
      </w:pPr>
      <w:proofErr w:type="gramStart"/>
      <w:r>
        <w:t xml:space="preserve">Low food security: </w:t>
      </w:r>
      <w:r w:rsidR="00505D13">
        <w:t xml:space="preserve">3+ </w:t>
      </w:r>
      <w:r w:rsidR="00C70B6A">
        <w:t>affirmative responses to questions listed below, i.e. indications</w:t>
      </w:r>
      <w:r>
        <w:t xml:space="preserve"> of reduced quality, variety, or desirability of diet.</w:t>
      </w:r>
      <w:proofErr w:type="gramEnd"/>
      <w:r>
        <w:t xml:space="preserve"> </w:t>
      </w:r>
      <w:proofErr w:type="gramStart"/>
      <w:r>
        <w:t>Little or no indication of reduced food intake.</w:t>
      </w:r>
      <w:proofErr w:type="gramEnd"/>
      <w:r>
        <w:t xml:space="preserve"> </w:t>
      </w:r>
    </w:p>
    <w:p w:rsidR="00C70B6A" w:rsidRDefault="00FF4AA8" w:rsidP="00410F3D">
      <w:pPr>
        <w:ind w:left="720"/>
      </w:pPr>
      <w:r>
        <w:t xml:space="preserve">Very low food security: </w:t>
      </w:r>
      <w:r w:rsidR="00344057">
        <w:t xml:space="preserve">6+ affirmative responses to questions listed below; i.e. </w:t>
      </w:r>
      <w:r>
        <w:t>reports of multiple indications of disrupted eating patterns and reduced food intake</w:t>
      </w:r>
      <w:r w:rsidR="004A71E2">
        <w:t>.</w:t>
      </w:r>
    </w:p>
    <w:p w:rsidR="00410F3D" w:rsidRDefault="00410F3D" w:rsidP="004F21E6">
      <w:pPr>
        <w:spacing w:after="0"/>
      </w:pPr>
    </w:p>
    <w:p w:rsidR="00E0079D" w:rsidRPr="004F21E6" w:rsidRDefault="00E0079D" w:rsidP="004F21E6">
      <w:pPr>
        <w:spacing w:after="0"/>
      </w:pPr>
      <w:r w:rsidRPr="004F21E6">
        <w:t>For more information</w:t>
      </w:r>
      <w:r w:rsidR="002A3D6F">
        <w:t xml:space="preserve"> on</w:t>
      </w:r>
      <w:r w:rsidR="00410F3D">
        <w:t xml:space="preserve"> food insecurity screens</w:t>
      </w:r>
      <w:r w:rsidRPr="004F21E6">
        <w:t>:</w:t>
      </w:r>
    </w:p>
    <w:p w:rsidR="00373468" w:rsidRPr="004F21E6" w:rsidRDefault="009772B0" w:rsidP="004F21E6">
      <w:pPr>
        <w:spacing w:after="0"/>
      </w:pPr>
      <w:hyperlink r:id="rId12" w:history="1">
        <w:r w:rsidR="004F21E6" w:rsidRPr="00574D5C">
          <w:rPr>
            <w:rStyle w:val="Hyperlink"/>
          </w:rPr>
          <w:t>https://www.ers.usda.gov/topics/food-nutrition-assistance/food-security-in-the-us/measurement/</w:t>
        </w:r>
      </w:hyperlink>
      <w:r w:rsidR="004F21E6">
        <w:t xml:space="preserve"> </w:t>
      </w:r>
    </w:p>
    <w:p w:rsidR="004F21E6" w:rsidRDefault="009772B0" w:rsidP="004F21E6">
      <w:pPr>
        <w:spacing w:after="0"/>
      </w:pPr>
      <w:hyperlink r:id="rId13" w:history="1">
        <w:r w:rsidR="004F21E6" w:rsidRPr="00F83B3D">
          <w:rPr>
            <w:rStyle w:val="Hyperlink"/>
          </w:rPr>
          <w:t>https://www.ers.usda.gov/topics/food-nutrition-assistance/food-security-in-the-us/survey-tools/</w:t>
        </w:r>
      </w:hyperlink>
    </w:p>
    <w:p w:rsidR="003324AE" w:rsidRDefault="009772B0" w:rsidP="003324AE">
      <w:pPr>
        <w:spacing w:after="0"/>
        <w:rPr>
          <w:rStyle w:val="Hyperlink"/>
        </w:rPr>
      </w:pPr>
      <w:hyperlink r:id="rId14" w:history="1">
        <w:r w:rsidR="008878F2" w:rsidRPr="00F83B3D">
          <w:rPr>
            <w:rStyle w:val="Hyperlink"/>
          </w:rPr>
          <w:t>http://www.fao.org/fileadmin/user_upload/eufao-fsi4dm/doc-training/hfias.pdf</w:t>
        </w:r>
      </w:hyperlink>
      <w:r w:rsidR="003324AE" w:rsidRPr="003324AE">
        <w:rPr>
          <w:rStyle w:val="Hyperlink"/>
          <w:u w:val="none"/>
        </w:rPr>
        <w:t xml:space="preserve">   </w:t>
      </w:r>
      <w:r w:rsidR="003324AE">
        <w:t>(alternative screen)</w:t>
      </w:r>
    </w:p>
    <w:p w:rsidR="003324AE" w:rsidRPr="003324AE" w:rsidRDefault="009772B0" w:rsidP="003324AE">
      <w:pPr>
        <w:spacing w:after="0"/>
        <w:rPr>
          <w:color w:val="0000FF" w:themeColor="hyperlink"/>
          <w:u w:val="single"/>
        </w:rPr>
      </w:pPr>
      <w:hyperlink r:id="rId15" w:history="1">
        <w:r w:rsidR="003324AE" w:rsidRPr="00F83B3D">
          <w:rPr>
            <w:rStyle w:val="Hyperlink"/>
          </w:rPr>
          <w:t>http://advances.nutrition.org/content/4/5/481.full</w:t>
        </w:r>
      </w:hyperlink>
      <w:r w:rsidR="003324AE">
        <w:t xml:space="preserve">  (</w:t>
      </w:r>
      <w:r w:rsidR="0004723E">
        <w:t>international food security assessments</w:t>
      </w:r>
      <w:r w:rsidR="003324AE">
        <w:t>)</w:t>
      </w:r>
    </w:p>
    <w:p w:rsidR="00410F3D" w:rsidRDefault="00410F3D" w:rsidP="005D3E10">
      <w:pPr>
        <w:spacing w:after="0"/>
        <w:rPr>
          <w:b/>
          <w:color w:val="4F6228" w:themeColor="accent3" w:themeShade="80"/>
          <w:u w:val="single"/>
        </w:rPr>
      </w:pPr>
    </w:p>
    <w:p w:rsidR="00410F3D" w:rsidRDefault="00410F3D" w:rsidP="005D3E10">
      <w:pPr>
        <w:spacing w:after="0"/>
        <w:rPr>
          <w:b/>
          <w:color w:val="4F6228" w:themeColor="accent3" w:themeShade="80"/>
          <w:u w:val="single"/>
        </w:rPr>
      </w:pPr>
    </w:p>
    <w:p w:rsidR="00A54FBA" w:rsidRPr="0013420D" w:rsidRDefault="00454EEB" w:rsidP="005D3E10">
      <w:pPr>
        <w:spacing w:after="0"/>
        <w:rPr>
          <w:b/>
          <w:sz w:val="24"/>
          <w:u w:val="single"/>
        </w:rPr>
      </w:pPr>
      <w:r w:rsidRPr="0013420D">
        <w:rPr>
          <w:b/>
          <w:color w:val="4F6228" w:themeColor="accent3" w:themeShade="80"/>
          <w:sz w:val="24"/>
          <w:u w:val="single"/>
        </w:rPr>
        <w:t>Current</w:t>
      </w:r>
      <w:r w:rsidR="00C31E95" w:rsidRPr="0013420D">
        <w:rPr>
          <w:b/>
          <w:color w:val="4F6228" w:themeColor="accent3" w:themeShade="80"/>
          <w:sz w:val="24"/>
          <w:u w:val="single"/>
        </w:rPr>
        <w:t xml:space="preserve"> Food Insecurity Datasets</w:t>
      </w:r>
      <w:r w:rsidR="002A3D6F" w:rsidRPr="0013420D">
        <w:rPr>
          <w:b/>
          <w:color w:val="4F6228" w:themeColor="accent3" w:themeShade="80"/>
          <w:sz w:val="24"/>
          <w:u w:val="single"/>
        </w:rPr>
        <w:t xml:space="preserve">, in data folder: </w:t>
      </w:r>
      <w:r w:rsidR="002A3D6F" w:rsidRPr="0013420D">
        <w:rPr>
          <w:b/>
          <w:i/>
          <w:color w:val="4F6228" w:themeColor="accent3" w:themeShade="80"/>
          <w:sz w:val="24"/>
          <w:u w:val="single"/>
        </w:rPr>
        <w:t>Food Insecurity Rates.xlsx (multiple tabs)</w:t>
      </w:r>
    </w:p>
    <w:p w:rsidR="00A54FBA" w:rsidRDefault="00C31E95" w:rsidP="00A54FBA">
      <w:pPr>
        <w:spacing w:after="0"/>
        <w:ind w:left="720" w:hanging="720"/>
        <w:rPr>
          <w:i/>
        </w:rPr>
      </w:pPr>
      <w:r w:rsidRPr="00A54FBA">
        <w:rPr>
          <w:b/>
        </w:rPr>
        <w:t>U.S. and Illinois USDA Food Insecurity Rates</w:t>
      </w:r>
      <w:r w:rsidR="002A3D6F">
        <w:rPr>
          <w:i/>
        </w:rPr>
        <w:t xml:space="preserve"> </w:t>
      </w:r>
    </w:p>
    <w:p w:rsidR="00C31E95" w:rsidRDefault="00F04DF8" w:rsidP="002A3D6F">
      <w:pPr>
        <w:ind w:left="720" w:hanging="720"/>
      </w:pPr>
      <w:r>
        <w:t>Rates come from an annual survey using the full food insecurity survey instrument described above.</w:t>
      </w:r>
    </w:p>
    <w:p w:rsidR="00C31E95" w:rsidRPr="00A3065E" w:rsidRDefault="00C31E95" w:rsidP="00A3065E">
      <w:pPr>
        <w:spacing w:after="0"/>
        <w:rPr>
          <w:i/>
        </w:rPr>
      </w:pPr>
      <w:r>
        <w:tab/>
      </w:r>
      <w:r w:rsidRPr="00A3065E">
        <w:rPr>
          <w:i/>
        </w:rPr>
        <w:t>Limitations</w:t>
      </w:r>
    </w:p>
    <w:p w:rsidR="00C31E95" w:rsidRDefault="00C31E95" w:rsidP="00C31E95">
      <w:pPr>
        <w:pStyle w:val="ListParagraph"/>
        <w:numPr>
          <w:ilvl w:val="0"/>
          <w:numId w:val="2"/>
        </w:numPr>
        <w:ind w:left="1080"/>
      </w:pPr>
      <w:r>
        <w:t>Only available down to the state level</w:t>
      </w:r>
    </w:p>
    <w:p w:rsidR="001F2B2E" w:rsidRDefault="001F2B2E" w:rsidP="001F2B2E">
      <w:pPr>
        <w:pStyle w:val="ListParagraph"/>
        <w:numPr>
          <w:ilvl w:val="0"/>
          <w:numId w:val="2"/>
        </w:numPr>
        <w:ind w:left="1080"/>
      </w:pPr>
      <w:r>
        <w:t>2 year delay, limiting our ability to be responsive and data driven (opportunity for predictive analytics?)</w:t>
      </w:r>
    </w:p>
    <w:p w:rsidR="00AC7F17" w:rsidRDefault="00C31E95" w:rsidP="005D3E10">
      <w:pPr>
        <w:pStyle w:val="ListParagraph"/>
        <w:numPr>
          <w:ilvl w:val="0"/>
          <w:numId w:val="2"/>
        </w:numPr>
        <w:ind w:left="1080"/>
      </w:pPr>
      <w:r>
        <w:t>Income-based measure (all questions approach food insecurity as an ability to afford enough food)</w:t>
      </w:r>
      <w:r w:rsidR="00F04DF8">
        <w:t>, potentially missing other dimensions of food insecurity (e.g. inability to access foods appropriate for special diets).</w:t>
      </w:r>
    </w:p>
    <w:p w:rsidR="0013420D" w:rsidRDefault="0013420D" w:rsidP="00A54FBA">
      <w:pPr>
        <w:spacing w:after="0"/>
        <w:ind w:left="720" w:hanging="720"/>
        <w:rPr>
          <w:b/>
        </w:rPr>
      </w:pPr>
    </w:p>
    <w:p w:rsidR="0013420D" w:rsidRDefault="0013420D" w:rsidP="00A54FBA">
      <w:pPr>
        <w:spacing w:after="0"/>
        <w:ind w:left="720" w:hanging="720"/>
        <w:rPr>
          <w:b/>
        </w:rPr>
      </w:pPr>
    </w:p>
    <w:p w:rsidR="00A54FBA" w:rsidRDefault="00C31E95" w:rsidP="00A54FBA">
      <w:pPr>
        <w:spacing w:after="0"/>
        <w:ind w:left="720" w:hanging="720"/>
      </w:pPr>
      <w:r w:rsidRPr="00A54FBA">
        <w:rPr>
          <w:b/>
        </w:rPr>
        <w:t>Feeding America Food Insecurity Rate</w:t>
      </w:r>
      <w:r w:rsidR="002A3D6F" w:rsidRPr="00A54FBA">
        <w:rPr>
          <w:b/>
        </w:rPr>
        <w:t>s</w:t>
      </w:r>
    </w:p>
    <w:p w:rsidR="00C31E95" w:rsidRDefault="00F04DF8" w:rsidP="00A54FBA">
      <w:r>
        <w:t xml:space="preserve">Rates come for a statistical model using same raw data as USDA </w:t>
      </w:r>
      <w:r w:rsidR="002F1924">
        <w:t xml:space="preserve">plus local American Community Survey census data </w:t>
      </w:r>
      <w:r>
        <w:t>for the purpose of estimating food insecurity at the local level</w:t>
      </w:r>
      <w:r w:rsidR="002F1924">
        <w:t xml:space="preserve"> (e.g. community area).</w:t>
      </w:r>
    </w:p>
    <w:p w:rsidR="00C31E95" w:rsidRPr="00A3065E" w:rsidRDefault="00C31E95" w:rsidP="00A3065E">
      <w:pPr>
        <w:spacing w:after="0"/>
        <w:ind w:firstLine="720"/>
        <w:rPr>
          <w:i/>
        </w:rPr>
      </w:pPr>
      <w:r w:rsidRPr="00A3065E">
        <w:rPr>
          <w:i/>
        </w:rPr>
        <w:t xml:space="preserve">Limitations </w:t>
      </w:r>
    </w:p>
    <w:p w:rsidR="00A3065E" w:rsidRDefault="00F04DF8" w:rsidP="00A3065E">
      <w:pPr>
        <w:pStyle w:val="ListParagraph"/>
        <w:numPr>
          <w:ilvl w:val="0"/>
          <w:numId w:val="2"/>
        </w:numPr>
        <w:ind w:left="1080"/>
      </w:pPr>
      <w:r>
        <w:t>D</w:t>
      </w:r>
      <w:r w:rsidR="00A3065E">
        <w:t xml:space="preserve">ynamics at the national level are not </w:t>
      </w:r>
      <w:r>
        <w:t xml:space="preserve">always </w:t>
      </w:r>
      <w:r w:rsidR="00A3065E">
        <w:t xml:space="preserve">mirrored locally (e.g. very low food insecurity rates in </w:t>
      </w:r>
      <w:r>
        <w:t>majority Hispanic or Latino neighborhoods in FA model).</w:t>
      </w:r>
    </w:p>
    <w:p w:rsidR="00A3065E" w:rsidRDefault="00A3065E" w:rsidP="00A3065E">
      <w:pPr>
        <w:pStyle w:val="ListParagraph"/>
        <w:numPr>
          <w:ilvl w:val="0"/>
          <w:numId w:val="2"/>
        </w:numPr>
        <w:ind w:left="1080"/>
      </w:pPr>
      <w:r>
        <w:t>2 year delay</w:t>
      </w:r>
      <w:r w:rsidR="001F2B2E">
        <w:t>, limiting our ability to be responsive and data driven (opportunity for predictive analytics?)</w:t>
      </w:r>
    </w:p>
    <w:p w:rsidR="00A3065E" w:rsidRDefault="00A3065E" w:rsidP="00A3065E">
      <w:pPr>
        <w:pStyle w:val="ListParagraph"/>
        <w:numPr>
          <w:ilvl w:val="0"/>
          <w:numId w:val="2"/>
        </w:numPr>
        <w:ind w:left="1080"/>
      </w:pPr>
      <w:r>
        <w:t xml:space="preserve">Income-based measure </w:t>
      </w:r>
      <w:r w:rsidR="0004723E">
        <w:t>(see above)</w:t>
      </w:r>
    </w:p>
    <w:p w:rsidR="002A3D6F" w:rsidRDefault="002A3D6F" w:rsidP="00A3065E">
      <w:pPr>
        <w:pStyle w:val="ListParagraph"/>
        <w:numPr>
          <w:ilvl w:val="0"/>
          <w:numId w:val="2"/>
        </w:numPr>
        <w:ind w:left="1080"/>
      </w:pPr>
      <w:r>
        <w:t>Cannot compare year-over-year data due to changes in methodology.</w:t>
      </w:r>
    </w:p>
    <w:p w:rsidR="00CC6CF9" w:rsidRPr="0013420D" w:rsidRDefault="00A54FBA" w:rsidP="00410F3D">
      <w:pPr>
        <w:spacing w:after="0"/>
        <w:rPr>
          <w:b/>
          <w:color w:val="4F6228" w:themeColor="accent3" w:themeShade="80"/>
          <w:sz w:val="24"/>
          <w:u w:val="single"/>
        </w:rPr>
      </w:pPr>
      <w:r w:rsidRPr="0013420D">
        <w:rPr>
          <w:b/>
          <w:color w:val="4F6228" w:themeColor="accent3" w:themeShade="80"/>
          <w:sz w:val="24"/>
          <w:u w:val="single"/>
        </w:rPr>
        <w:lastRenderedPageBreak/>
        <w:t xml:space="preserve">Other </w:t>
      </w:r>
      <w:r w:rsidR="00410F3D" w:rsidRPr="0013420D">
        <w:rPr>
          <w:b/>
          <w:color w:val="4F6228" w:themeColor="accent3" w:themeShade="80"/>
          <w:sz w:val="24"/>
          <w:u w:val="single"/>
        </w:rPr>
        <w:t xml:space="preserve">key </w:t>
      </w:r>
      <w:r w:rsidRPr="0013420D">
        <w:rPr>
          <w:b/>
          <w:color w:val="4F6228" w:themeColor="accent3" w:themeShade="80"/>
          <w:sz w:val="24"/>
          <w:u w:val="single"/>
        </w:rPr>
        <w:t>need indicators</w:t>
      </w:r>
    </w:p>
    <w:p w:rsidR="004167A9" w:rsidRDefault="00DE6D06" w:rsidP="00DE6D06">
      <w:r w:rsidRPr="00C0519F">
        <w:rPr>
          <w:b/>
        </w:rPr>
        <w:t xml:space="preserve">U.S. Census American Community Survey </w:t>
      </w:r>
      <w:r w:rsidR="00294E3D" w:rsidRPr="00C0519F">
        <w:rPr>
          <w:b/>
        </w:rPr>
        <w:t xml:space="preserve">(ACS) </w:t>
      </w:r>
      <w:r w:rsidRPr="00C0519F">
        <w:rPr>
          <w:b/>
        </w:rPr>
        <w:t>Dem</w:t>
      </w:r>
      <w:r w:rsidR="00294E3D" w:rsidRPr="00C0519F">
        <w:rPr>
          <w:b/>
        </w:rPr>
        <w:t>ographic and Income Data</w:t>
      </w:r>
      <w:r w:rsidR="00294E3D" w:rsidRPr="00C0519F">
        <w:rPr>
          <w:b/>
        </w:rPr>
        <w:br/>
      </w:r>
      <w:r w:rsidR="00294E3D">
        <w:t xml:space="preserve">The U.S. Census ACS </w:t>
      </w:r>
      <w:r w:rsidR="004167A9">
        <w:t xml:space="preserve">is an ongoing survey that provides vital information on a year basis about the population, including about ages, incomes, jobs and occupations, educational attainment, housing, citizenship, insurance coverage, SNAP participation, and much more.  </w:t>
      </w:r>
    </w:p>
    <w:p w:rsidR="00794285" w:rsidRDefault="004167A9" w:rsidP="00DE6D06">
      <w:r>
        <w:t xml:space="preserve">At the sub-county </w:t>
      </w:r>
      <w:r w:rsidR="00794285">
        <w:t>level, the Food Depository uses the</w:t>
      </w:r>
      <w:r>
        <w:t xml:space="preserve"> 5-year estimates </w:t>
      </w:r>
      <w:r w:rsidR="00794285">
        <w:t xml:space="preserve">to inform local needs assessments.  You can access the huge array of census data tables available at </w:t>
      </w:r>
      <w:hyperlink r:id="rId16" w:history="1">
        <w:r w:rsidR="00794285" w:rsidRPr="003E0BF0">
          <w:rPr>
            <w:rStyle w:val="Hyperlink"/>
          </w:rPr>
          <w:t>https://factfinder.census.gov</w:t>
        </w:r>
      </w:hyperlink>
      <w:r w:rsidR="00794285">
        <w:t xml:space="preserve">. </w:t>
      </w:r>
    </w:p>
    <w:p w:rsidR="00DE6D06" w:rsidRDefault="00794285" w:rsidP="00DE6D06">
      <w:r>
        <w:t>The Food Depository has also created an online interactive map</w:t>
      </w:r>
      <w:r w:rsidR="008E554A">
        <w:t>/visualization</w:t>
      </w:r>
      <w:r>
        <w:t xml:space="preserve"> of many demographic and income census data points, available here: </w:t>
      </w:r>
      <w:hyperlink r:id="rId17" w:history="1">
        <w:r w:rsidR="00DE6D06" w:rsidRPr="00F83B3D">
          <w:rPr>
            <w:rStyle w:val="Hyperlink"/>
          </w:rPr>
          <w:t>www.chicagosfoodbank.org/community-data-map</w:t>
        </w:r>
      </w:hyperlink>
    </w:p>
    <w:p w:rsidR="00330701" w:rsidRDefault="00C93FEC">
      <w:r>
        <w:t>Community area level data from the 2011-2015 ACS</w:t>
      </w:r>
      <w:r w:rsidR="00850027">
        <w:t xml:space="preserve"> is </w:t>
      </w:r>
      <w:r w:rsidR="00AD7FC2">
        <w:t>available in the dataset folder</w:t>
      </w:r>
      <w:r w:rsidR="00850027">
        <w:t>:</w:t>
      </w:r>
      <w:r w:rsidR="00AD7FC2">
        <w:t xml:space="preserve"> </w:t>
      </w:r>
      <w:r w:rsidR="00AD7FC2" w:rsidRPr="00AD7FC2">
        <w:rPr>
          <w:i/>
        </w:rPr>
        <w:t>Community Area Level Demographic and Income Data _ 2015 Census American Community Survey.xlsx</w:t>
      </w:r>
    </w:p>
    <w:p w:rsidR="00320AA9" w:rsidRDefault="00320AA9" w:rsidP="00410F3D">
      <w:pPr>
        <w:spacing w:after="0"/>
        <w:rPr>
          <w:b/>
          <w:color w:val="4F6228" w:themeColor="accent3" w:themeShade="80"/>
          <w:u w:val="single"/>
        </w:rPr>
      </w:pPr>
    </w:p>
    <w:p w:rsidR="00320AA9" w:rsidRDefault="00320AA9" w:rsidP="00410F3D">
      <w:pPr>
        <w:spacing w:after="0"/>
        <w:rPr>
          <w:b/>
          <w:color w:val="4F6228" w:themeColor="accent3" w:themeShade="80"/>
          <w:u w:val="single"/>
        </w:rPr>
      </w:pPr>
    </w:p>
    <w:p w:rsidR="00C27F03" w:rsidRPr="0013420D" w:rsidRDefault="00320AA9" w:rsidP="00410F3D">
      <w:pPr>
        <w:spacing w:after="0"/>
        <w:rPr>
          <w:b/>
          <w:color w:val="4F6228" w:themeColor="accent3" w:themeShade="80"/>
          <w:sz w:val="24"/>
          <w:u w:val="single"/>
        </w:rPr>
      </w:pPr>
      <w:r w:rsidRPr="0013420D">
        <w:rPr>
          <w:b/>
          <w:color w:val="4F6228" w:themeColor="accent3" w:themeShade="80"/>
          <w:sz w:val="24"/>
          <w:u w:val="single"/>
        </w:rPr>
        <w:t>Resources on i</w:t>
      </w:r>
      <w:r w:rsidR="00C27F03" w:rsidRPr="0013420D">
        <w:rPr>
          <w:b/>
          <w:color w:val="4F6228" w:themeColor="accent3" w:themeShade="80"/>
          <w:sz w:val="24"/>
          <w:u w:val="single"/>
        </w:rPr>
        <w:t>ntersection of food insecurity and health</w:t>
      </w:r>
      <w:r w:rsidRPr="0013420D">
        <w:rPr>
          <w:b/>
          <w:color w:val="4F6228" w:themeColor="accent3" w:themeShade="80"/>
          <w:sz w:val="24"/>
          <w:u w:val="single"/>
        </w:rPr>
        <w:t xml:space="preserve"> in dataset folder</w:t>
      </w:r>
    </w:p>
    <w:p w:rsidR="00C27F03" w:rsidRDefault="00C27F03" w:rsidP="00571ADB">
      <w:pPr>
        <w:spacing w:after="0"/>
        <w:ind w:left="720" w:hanging="720"/>
      </w:pPr>
      <w:r w:rsidRPr="00C27F03">
        <w:rPr>
          <w:i/>
        </w:rPr>
        <w:t xml:space="preserve">GCFD Healthcare </w:t>
      </w:r>
      <w:proofErr w:type="gramStart"/>
      <w:r w:rsidRPr="00C27F03">
        <w:rPr>
          <w:i/>
        </w:rPr>
        <w:t>Strategy  FI</w:t>
      </w:r>
      <w:proofErr w:type="gramEnd"/>
      <w:r w:rsidRPr="00C27F03">
        <w:rPr>
          <w:i/>
        </w:rPr>
        <w:t xml:space="preserve"> Screen_20170911.pdf</w:t>
      </w:r>
      <w:r>
        <w:rPr>
          <w:i/>
        </w:rPr>
        <w:br/>
      </w:r>
      <w:r>
        <w:t xml:space="preserve">The Food Depository’s Strategy Brief on healthcare partnerships. </w:t>
      </w:r>
    </w:p>
    <w:p w:rsidR="00C27F03" w:rsidRDefault="00C27F03" w:rsidP="00410F3D">
      <w:pPr>
        <w:spacing w:after="0"/>
      </w:pPr>
    </w:p>
    <w:p w:rsidR="00C27F03" w:rsidRDefault="00C27F03" w:rsidP="00571ADB">
      <w:pPr>
        <w:spacing w:after="0"/>
        <w:ind w:left="720" w:hanging="720"/>
      </w:pPr>
      <w:r w:rsidRPr="00C27F03">
        <w:rPr>
          <w:i/>
        </w:rPr>
        <w:t>Determinants-health-food-insecurity-role-of-hospitals.pdf</w:t>
      </w:r>
      <w:r>
        <w:t xml:space="preserve"> </w:t>
      </w:r>
    </w:p>
    <w:p w:rsidR="00C27F03" w:rsidRDefault="00C27F03" w:rsidP="00571ADB">
      <w:pPr>
        <w:spacing w:after="0"/>
        <w:ind w:left="720"/>
      </w:pPr>
      <w:proofErr w:type="gramStart"/>
      <w:r>
        <w:t>Description of the impact of food insecurity on health, the role of hospitals in decreasing food insecurity among their patient population, and case studies.</w:t>
      </w:r>
      <w:proofErr w:type="gramEnd"/>
      <w:r>
        <w:t xml:space="preserve">  </w:t>
      </w:r>
    </w:p>
    <w:p w:rsidR="00C27F03" w:rsidRDefault="00C27F03" w:rsidP="00410F3D">
      <w:pPr>
        <w:spacing w:after="0"/>
      </w:pPr>
    </w:p>
    <w:p w:rsidR="00C27F03" w:rsidRPr="00706EB4" w:rsidRDefault="00706EB4" w:rsidP="00410F3D">
      <w:pPr>
        <w:spacing w:after="0"/>
        <w:rPr>
          <w:i/>
        </w:rPr>
      </w:pPr>
      <w:r w:rsidRPr="00706EB4">
        <w:rPr>
          <w:i/>
        </w:rPr>
        <w:t>Food-Banks-as-Partners_HIPAA_Feeding-America Harvard Final_.pdf</w:t>
      </w:r>
    </w:p>
    <w:p w:rsidR="00706EB4" w:rsidRDefault="00706EB4" w:rsidP="00571ADB">
      <w:pPr>
        <w:spacing w:after="0"/>
        <w:ind w:left="720"/>
      </w:pPr>
      <w:r>
        <w:t>Describes how and why food banks partner in health promotion and what Health Insurance Portability and Accountability Act of 1996 (known as HIPAA) implications must be taken into account.</w:t>
      </w:r>
    </w:p>
    <w:p w:rsidR="00C27F03" w:rsidRDefault="00C27F03" w:rsidP="00410F3D">
      <w:pPr>
        <w:spacing w:after="0"/>
      </w:pPr>
    </w:p>
    <w:p w:rsidR="00320AA9" w:rsidRPr="00320AA9" w:rsidRDefault="00320AA9" w:rsidP="00410F3D">
      <w:pPr>
        <w:spacing w:after="0"/>
        <w:rPr>
          <w:i/>
        </w:rPr>
      </w:pPr>
      <w:r w:rsidRPr="00320AA9">
        <w:rPr>
          <w:i/>
        </w:rPr>
        <w:t>Seligman_Issues_Brief_1 24 16.pdf</w:t>
      </w:r>
    </w:p>
    <w:p w:rsidR="00C27F03" w:rsidRDefault="00320AA9" w:rsidP="00571ADB">
      <w:pPr>
        <w:spacing w:after="0"/>
        <w:ind w:left="720"/>
      </w:pPr>
      <w:proofErr w:type="gramStart"/>
      <w:r>
        <w:t>Helpful summary article on the intersection of food insecurity and health from a leading researcher on the topic.</w:t>
      </w:r>
      <w:proofErr w:type="gramEnd"/>
    </w:p>
    <w:p w:rsidR="00C27F03" w:rsidRDefault="00C27F03" w:rsidP="00410F3D">
      <w:pPr>
        <w:spacing w:after="0"/>
      </w:pPr>
    </w:p>
    <w:p w:rsidR="0013420D" w:rsidRDefault="0013420D" w:rsidP="0013420D">
      <w:pPr>
        <w:spacing w:after="0"/>
      </w:pPr>
      <w:r>
        <w:t xml:space="preserve">Fresh Food By Prescription: This Health Care Firm Is Trimming Costs — And Waistlines: </w:t>
      </w:r>
    </w:p>
    <w:p w:rsidR="00320AA9" w:rsidRDefault="0013420D" w:rsidP="00571ADB">
      <w:pPr>
        <w:spacing w:after="0"/>
        <w:ind w:left="720"/>
      </w:pPr>
      <w:r>
        <w:t xml:space="preserve">This article draws the connection between A1C level and costs to treat with and without a food intervention at a hospital in Pennsylvania. </w:t>
      </w:r>
      <w:hyperlink r:id="rId18" w:history="1">
        <w:r w:rsidRPr="003E0BF0">
          <w:rPr>
            <w:rStyle w:val="Hyperlink"/>
          </w:rPr>
          <w:t>http://www.npr.org/sections/thesalt/2017/05/08/526952657/fresh-food-by-prescription-this-health-care-firm-is-trimming-costs-and-waistline</w:t>
        </w:r>
      </w:hyperlink>
      <w:r>
        <w:t xml:space="preserve">   </w:t>
      </w:r>
    </w:p>
    <w:p w:rsidR="00C27F03" w:rsidRDefault="00C27F03" w:rsidP="00410F3D">
      <w:pPr>
        <w:spacing w:after="0"/>
      </w:pPr>
    </w:p>
    <w:p w:rsidR="0004723E" w:rsidRDefault="0004723E" w:rsidP="0004723E">
      <w:pPr>
        <w:spacing w:after="0"/>
        <w:rPr>
          <w:b/>
          <w:color w:val="4F6228" w:themeColor="accent3" w:themeShade="80"/>
          <w:sz w:val="24"/>
          <w:u w:val="single"/>
        </w:rPr>
      </w:pPr>
    </w:p>
    <w:p w:rsidR="0004723E" w:rsidRDefault="0004723E" w:rsidP="0004723E">
      <w:pPr>
        <w:spacing w:after="0"/>
        <w:rPr>
          <w:b/>
          <w:color w:val="4F6228" w:themeColor="accent3" w:themeShade="80"/>
          <w:sz w:val="24"/>
          <w:u w:val="single"/>
        </w:rPr>
      </w:pPr>
    </w:p>
    <w:p w:rsidR="0004723E" w:rsidRDefault="0004723E" w:rsidP="0004723E">
      <w:pPr>
        <w:spacing w:after="0"/>
        <w:rPr>
          <w:b/>
          <w:color w:val="4F6228" w:themeColor="accent3" w:themeShade="80"/>
          <w:sz w:val="24"/>
          <w:u w:val="single"/>
        </w:rPr>
      </w:pPr>
    </w:p>
    <w:p w:rsidR="0004723E" w:rsidRPr="0013420D" w:rsidRDefault="0004723E" w:rsidP="0004723E">
      <w:pPr>
        <w:spacing w:after="0"/>
        <w:rPr>
          <w:b/>
          <w:color w:val="4F6228" w:themeColor="accent3" w:themeShade="80"/>
          <w:sz w:val="24"/>
          <w:u w:val="single"/>
        </w:rPr>
      </w:pPr>
      <w:r w:rsidRPr="0013420D">
        <w:rPr>
          <w:b/>
          <w:color w:val="4F6228" w:themeColor="accent3" w:themeShade="80"/>
          <w:sz w:val="24"/>
          <w:u w:val="single"/>
        </w:rPr>
        <w:lastRenderedPageBreak/>
        <w:t>Other helpful links and data sources</w:t>
      </w:r>
    </w:p>
    <w:p w:rsidR="0004723E" w:rsidRDefault="0004723E" w:rsidP="0004723E">
      <w:pPr>
        <w:spacing w:after="0"/>
      </w:pPr>
      <w:r w:rsidRPr="0011792F">
        <w:rPr>
          <w:b/>
        </w:rPr>
        <w:t>Cook County Open Data Portal:</w:t>
      </w:r>
      <w:r>
        <w:t xml:space="preserve"> although less extensive than the City of Chicago’s data portal linked below, the Cook County portal offers a considerable amount of information on county assets and operations on its website. </w:t>
      </w:r>
      <w:hyperlink r:id="rId19" w:history="1">
        <w:r w:rsidRPr="00F83B3D">
          <w:rPr>
            <w:rStyle w:val="Hyperlink"/>
          </w:rPr>
          <w:t>https://datacatalog.cookcountyil.gov/</w:t>
        </w:r>
      </w:hyperlink>
      <w:r>
        <w:t xml:space="preserve"> </w:t>
      </w:r>
    </w:p>
    <w:p w:rsidR="0004723E" w:rsidRDefault="0004723E" w:rsidP="0004723E">
      <w:pPr>
        <w:spacing w:after="0"/>
      </w:pPr>
    </w:p>
    <w:p w:rsidR="0004723E" w:rsidRDefault="0004723E" w:rsidP="0004723E">
      <w:pPr>
        <w:spacing w:after="0"/>
      </w:pPr>
      <w:r w:rsidRPr="0011792F">
        <w:rPr>
          <w:b/>
        </w:rPr>
        <w:t>Chicago Data Portal</w:t>
      </w:r>
      <w:r>
        <w:t xml:space="preserve"> (Chicago only): a wide array of easily downloadable datasets and spatial files on everything from city facilities, to public safety, to housing, to transportation and the environment.</w:t>
      </w:r>
    </w:p>
    <w:p w:rsidR="0004723E" w:rsidRDefault="009772B0" w:rsidP="0004723E">
      <w:hyperlink r:id="rId20" w:history="1">
        <w:r w:rsidR="0004723E" w:rsidRPr="003E0BF0">
          <w:rPr>
            <w:rStyle w:val="Hyperlink"/>
          </w:rPr>
          <w:t>https://data.cityofchicago.org/</w:t>
        </w:r>
      </w:hyperlink>
      <w:r w:rsidR="0004723E">
        <w:t xml:space="preserve"> </w:t>
      </w:r>
    </w:p>
    <w:p w:rsidR="0004723E" w:rsidRDefault="0004723E" w:rsidP="0004723E">
      <w:r w:rsidRPr="00A40A88">
        <w:rPr>
          <w:b/>
        </w:rPr>
        <w:t>Chicago Health Atlas:</w:t>
      </w:r>
      <w:r>
        <w:t xml:space="preserve"> View citywide information about health trends and outcomes by Chicago neighborhood or zip code. </w:t>
      </w:r>
      <w:hyperlink r:id="rId21" w:history="1">
        <w:r w:rsidRPr="003E0BF0">
          <w:rPr>
            <w:rStyle w:val="Hyperlink"/>
          </w:rPr>
          <w:t>http://www.chicagohealthatlas.org</w:t>
        </w:r>
      </w:hyperlink>
      <w:r>
        <w:t xml:space="preserve"> </w:t>
      </w:r>
    </w:p>
    <w:p w:rsidR="0004723E" w:rsidRDefault="0004723E" w:rsidP="0004723E">
      <w:pPr>
        <w:spacing w:after="0"/>
      </w:pPr>
      <w:r w:rsidRPr="00C06CCA">
        <w:rPr>
          <w:b/>
        </w:rPr>
        <w:t>Veggie Books Survey findings:</w:t>
      </w:r>
      <w:r>
        <w:t xml:space="preserve"> show that the majority of clients participating in several Food Depository distributions have cell phones. In dataset folder: </w:t>
      </w:r>
      <w:r w:rsidRPr="00320AA9">
        <w:rPr>
          <w:i/>
        </w:rPr>
        <w:t xml:space="preserve">Veggie Books Phase </w:t>
      </w:r>
      <w:proofErr w:type="gramStart"/>
      <w:r w:rsidRPr="00320AA9">
        <w:rPr>
          <w:i/>
        </w:rPr>
        <w:t>1  2</w:t>
      </w:r>
      <w:proofErr w:type="gramEnd"/>
      <w:r w:rsidRPr="00320AA9">
        <w:rPr>
          <w:i/>
        </w:rPr>
        <w:t xml:space="preserve"> data summary_091117.docx</w:t>
      </w:r>
    </w:p>
    <w:p w:rsidR="0004723E" w:rsidRDefault="0004723E" w:rsidP="00410F3D">
      <w:pPr>
        <w:spacing w:after="0"/>
        <w:rPr>
          <w:b/>
          <w:color w:val="4F6228" w:themeColor="accent3" w:themeShade="80"/>
          <w:sz w:val="24"/>
          <w:u w:val="single"/>
        </w:rPr>
      </w:pPr>
    </w:p>
    <w:p w:rsidR="0004723E" w:rsidRDefault="0004723E" w:rsidP="0004723E">
      <w:pPr>
        <w:spacing w:after="0"/>
        <w:rPr>
          <w:b/>
          <w:color w:val="4F6228" w:themeColor="accent3" w:themeShade="80"/>
          <w:sz w:val="24"/>
          <w:u w:val="single"/>
        </w:rPr>
      </w:pPr>
    </w:p>
    <w:p w:rsidR="0004723E" w:rsidRPr="0013420D" w:rsidRDefault="0004723E" w:rsidP="0004723E">
      <w:pPr>
        <w:spacing w:after="0"/>
        <w:rPr>
          <w:b/>
          <w:color w:val="4F6228" w:themeColor="accent3" w:themeShade="80"/>
          <w:sz w:val="24"/>
          <w:u w:val="single"/>
        </w:rPr>
      </w:pPr>
      <w:r w:rsidRPr="0013420D">
        <w:rPr>
          <w:b/>
          <w:color w:val="4F6228" w:themeColor="accent3" w:themeShade="80"/>
          <w:sz w:val="24"/>
          <w:u w:val="single"/>
        </w:rPr>
        <w:t xml:space="preserve">List of Cook County Community Areas </w:t>
      </w:r>
    </w:p>
    <w:p w:rsidR="0004723E" w:rsidRDefault="0004723E" w:rsidP="0004723E">
      <w:r>
        <w:t xml:space="preserve">The Greater Chicago Food Depository’s service area is Cook County, Illinois. A key sub-county geography we use is the community area, defined as the 77 official Chicago community areas and over 100 suburban municipalities. In data set folder: </w:t>
      </w:r>
      <w:r w:rsidRPr="006B33E1">
        <w:rPr>
          <w:i/>
        </w:rPr>
        <w:t>List of Cook County Community Areas.xlsx</w:t>
      </w:r>
    </w:p>
    <w:p w:rsidR="0004723E" w:rsidRDefault="0004723E" w:rsidP="00410F3D">
      <w:pPr>
        <w:spacing w:after="0"/>
        <w:rPr>
          <w:b/>
          <w:color w:val="4F6228" w:themeColor="accent3" w:themeShade="80"/>
          <w:sz w:val="24"/>
          <w:u w:val="single"/>
        </w:rPr>
      </w:pPr>
    </w:p>
    <w:p w:rsidR="0004723E" w:rsidRDefault="0004723E" w:rsidP="00410F3D">
      <w:pPr>
        <w:spacing w:after="0"/>
        <w:rPr>
          <w:b/>
          <w:color w:val="4F6228" w:themeColor="accent3" w:themeShade="80"/>
          <w:sz w:val="24"/>
          <w:u w:val="single"/>
        </w:rPr>
      </w:pPr>
    </w:p>
    <w:p w:rsidR="00410F3D" w:rsidRPr="0013420D" w:rsidRDefault="00857677" w:rsidP="00410F3D">
      <w:pPr>
        <w:spacing w:after="0"/>
        <w:rPr>
          <w:b/>
          <w:color w:val="4F6228" w:themeColor="accent3" w:themeShade="80"/>
          <w:sz w:val="24"/>
          <w:u w:val="single"/>
        </w:rPr>
      </w:pPr>
      <w:r w:rsidRPr="0013420D">
        <w:rPr>
          <w:b/>
          <w:color w:val="4F6228" w:themeColor="accent3" w:themeShade="80"/>
          <w:sz w:val="24"/>
          <w:u w:val="single"/>
        </w:rPr>
        <w:t>Articles</w:t>
      </w:r>
      <w:r w:rsidR="00BA3B65" w:rsidRPr="0013420D">
        <w:rPr>
          <w:b/>
          <w:color w:val="4F6228" w:themeColor="accent3" w:themeShade="80"/>
          <w:sz w:val="24"/>
          <w:u w:val="single"/>
        </w:rPr>
        <w:t xml:space="preserve"> on s</w:t>
      </w:r>
      <w:r w:rsidRPr="0013420D">
        <w:rPr>
          <w:b/>
          <w:color w:val="4F6228" w:themeColor="accent3" w:themeShade="80"/>
          <w:sz w:val="24"/>
          <w:u w:val="single"/>
        </w:rPr>
        <w:t>urveying hard-to-reach p</w:t>
      </w:r>
      <w:r w:rsidR="003324AE" w:rsidRPr="0013420D">
        <w:rPr>
          <w:b/>
          <w:color w:val="4F6228" w:themeColor="accent3" w:themeShade="80"/>
          <w:sz w:val="24"/>
          <w:u w:val="single"/>
        </w:rPr>
        <w:t>opulations</w:t>
      </w:r>
    </w:p>
    <w:p w:rsidR="00751BF4" w:rsidRDefault="009772B0" w:rsidP="00410F3D">
      <w:pPr>
        <w:spacing w:after="0"/>
      </w:pPr>
      <w:hyperlink r:id="rId22" w:history="1">
        <w:r w:rsidR="004D57ED" w:rsidRPr="003E0BF0">
          <w:rPr>
            <w:rStyle w:val="Hyperlink"/>
          </w:rPr>
          <w:t>http://www.psi.org/wp-content/uploads/drupal/sites/default/files/publication_files/Sampling-Hard-To-Reach-Populations-Toolkit.pdf</w:t>
        </w:r>
      </w:hyperlink>
      <w:r w:rsidR="004D57ED">
        <w:t xml:space="preserve"> &amp;</w:t>
      </w:r>
      <w:r w:rsidR="00410F3D">
        <w:t xml:space="preserve"> </w:t>
      </w:r>
      <w:hyperlink r:id="rId23" w:history="1">
        <w:r w:rsidR="00751BF4" w:rsidRPr="00F83B3D">
          <w:rPr>
            <w:rStyle w:val="Hyperlink"/>
          </w:rPr>
          <w:t>http://journals.sagepub.com/doi/pdf/10.4256/mio.2010.0014</w:t>
        </w:r>
      </w:hyperlink>
      <w:r w:rsidR="00751BF4">
        <w:t xml:space="preserve"> </w:t>
      </w:r>
      <w:r w:rsidR="00857677">
        <w:br/>
      </w:r>
      <w:proofErr w:type="gramStart"/>
      <w:r w:rsidR="004D57ED">
        <w:t>After</w:t>
      </w:r>
      <w:proofErr w:type="gramEnd"/>
      <w:r w:rsidR="004D57ED">
        <w:t xml:space="preserve"> defining what a hard-to reach-population is, these articles provides an outline of various approaches</w:t>
      </w:r>
      <w:r w:rsidR="00982F7B">
        <w:t xml:space="preserve"> to surveying hard-to-reach populations</w:t>
      </w:r>
      <w:r w:rsidR="004D57ED">
        <w:t>.</w:t>
      </w:r>
    </w:p>
    <w:p w:rsidR="00982F7B" w:rsidRDefault="00982F7B" w:rsidP="00410F3D">
      <w:pPr>
        <w:spacing w:after="0"/>
      </w:pPr>
    </w:p>
    <w:p w:rsidR="00410F3D" w:rsidRDefault="009772B0" w:rsidP="00982F7B">
      <w:hyperlink r:id="rId24" w:history="1">
        <w:r w:rsidR="00982F7B" w:rsidRPr="003E0BF0">
          <w:rPr>
            <w:rStyle w:val="Hyperlink"/>
          </w:rPr>
          <w:t>http://www.csun.edu/~hbsoc126/soc4/chapter_8_outline.pdf</w:t>
        </w:r>
      </w:hyperlink>
      <w:r w:rsidR="00982F7B">
        <w:t xml:space="preserve"> </w:t>
      </w:r>
      <w:r w:rsidR="00982F7B">
        <w:br/>
        <w:t>Describes an introduction to types of quantitative sampling.</w:t>
      </w:r>
    </w:p>
    <w:p w:rsidR="004D57ED" w:rsidRDefault="009772B0" w:rsidP="004D57ED">
      <w:pPr>
        <w:spacing w:after="0"/>
      </w:pPr>
      <w:hyperlink r:id="rId25" w:history="1">
        <w:r w:rsidR="004D57ED" w:rsidRPr="00F83B3D">
          <w:rPr>
            <w:rStyle w:val="Hyperlink"/>
          </w:rPr>
          <w:t>https://bmcmedresmethodol.biomedcentral.com/articles/10.1186/1471-2288-14-42</w:t>
        </w:r>
      </w:hyperlink>
      <w:r w:rsidR="004D57ED">
        <w:t xml:space="preserve"> </w:t>
      </w:r>
    </w:p>
    <w:p w:rsidR="004D57ED" w:rsidRDefault="00982F7B" w:rsidP="004D57ED">
      <w:r>
        <w:t>Concludes that to</w:t>
      </w:r>
      <w:r w:rsidR="004D57ED">
        <w:t xml:space="preserve"> tackle the challenges of research wit</w:t>
      </w:r>
      <w:r>
        <w:t>h socially disadvantaged groups</w:t>
      </w:r>
      <w:r w:rsidR="004D57ED">
        <w:t xml:space="preserve"> and </w:t>
      </w:r>
      <w:r>
        <w:t xml:space="preserve">to </w:t>
      </w:r>
      <w:r w:rsidR="004D57ED">
        <w:t>increase their representation in health and medical research, researchers and research institutions need to acknowledge extended timeframes, plan for higher resourcing costs and operate via community partnerships.</w:t>
      </w:r>
    </w:p>
    <w:p w:rsidR="00555EDF" w:rsidRDefault="00555EDF" w:rsidP="00330701"/>
    <w:p w:rsidR="0004723E" w:rsidRDefault="0004723E" w:rsidP="0004723E"/>
    <w:p w:rsidR="0004723E" w:rsidRDefault="0004723E" w:rsidP="00330701"/>
    <w:sectPr w:rsidR="0004723E" w:rsidSect="0013420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77" w:rsidRDefault="00857677" w:rsidP="006E326A">
      <w:pPr>
        <w:spacing w:after="0" w:line="240" w:lineRule="auto"/>
      </w:pPr>
      <w:r>
        <w:separator/>
      </w:r>
    </w:p>
  </w:endnote>
  <w:endnote w:type="continuationSeparator" w:id="0">
    <w:p w:rsidR="00857677" w:rsidRDefault="00857677" w:rsidP="006E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77" w:rsidRDefault="008576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77" w:rsidRDefault="008576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77" w:rsidRDefault="00857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77" w:rsidRDefault="00857677" w:rsidP="006E326A">
      <w:pPr>
        <w:spacing w:after="0" w:line="240" w:lineRule="auto"/>
      </w:pPr>
      <w:r>
        <w:separator/>
      </w:r>
    </w:p>
  </w:footnote>
  <w:footnote w:type="continuationSeparator" w:id="0">
    <w:p w:rsidR="00857677" w:rsidRDefault="00857677" w:rsidP="006E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77" w:rsidRDefault="00857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522701"/>
      <w:docPartObj>
        <w:docPartGallery w:val="Watermarks"/>
        <w:docPartUnique/>
      </w:docPartObj>
    </w:sdtPr>
    <w:sdtEndPr/>
    <w:sdtContent>
      <w:p w:rsidR="00857677" w:rsidRDefault="009772B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77" w:rsidRDefault="00857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109"/>
    <w:multiLevelType w:val="hybridMultilevel"/>
    <w:tmpl w:val="E326C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F7608A"/>
    <w:multiLevelType w:val="hybridMultilevel"/>
    <w:tmpl w:val="CF6C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01"/>
    <w:rsid w:val="00002449"/>
    <w:rsid w:val="0004723E"/>
    <w:rsid w:val="000A4087"/>
    <w:rsid w:val="0011792F"/>
    <w:rsid w:val="0013420D"/>
    <w:rsid w:val="0016418F"/>
    <w:rsid w:val="001848DB"/>
    <w:rsid w:val="001F2B2E"/>
    <w:rsid w:val="002650D5"/>
    <w:rsid w:val="00294E3D"/>
    <w:rsid w:val="002A3D6F"/>
    <w:rsid w:val="002C7985"/>
    <w:rsid w:val="002D285F"/>
    <w:rsid w:val="002F1924"/>
    <w:rsid w:val="003031D7"/>
    <w:rsid w:val="00320AA9"/>
    <w:rsid w:val="00330701"/>
    <w:rsid w:val="003324AE"/>
    <w:rsid w:val="00344057"/>
    <w:rsid w:val="003630BA"/>
    <w:rsid w:val="00373468"/>
    <w:rsid w:val="00410F3D"/>
    <w:rsid w:val="004167A9"/>
    <w:rsid w:val="00454EEB"/>
    <w:rsid w:val="004A71E2"/>
    <w:rsid w:val="004D57ED"/>
    <w:rsid w:val="004F21E6"/>
    <w:rsid w:val="005047D4"/>
    <w:rsid w:val="00505D13"/>
    <w:rsid w:val="005367C8"/>
    <w:rsid w:val="00555EDF"/>
    <w:rsid w:val="00571ADB"/>
    <w:rsid w:val="0058190C"/>
    <w:rsid w:val="00593B33"/>
    <w:rsid w:val="005D3E10"/>
    <w:rsid w:val="006B33E1"/>
    <w:rsid w:val="006C1FE3"/>
    <w:rsid w:val="006E326A"/>
    <w:rsid w:val="00706EB4"/>
    <w:rsid w:val="00751BF4"/>
    <w:rsid w:val="00792E42"/>
    <w:rsid w:val="00794285"/>
    <w:rsid w:val="007947CF"/>
    <w:rsid w:val="00850027"/>
    <w:rsid w:val="00857677"/>
    <w:rsid w:val="008878F2"/>
    <w:rsid w:val="008A28E6"/>
    <w:rsid w:val="008E554A"/>
    <w:rsid w:val="008E57C7"/>
    <w:rsid w:val="0091419E"/>
    <w:rsid w:val="00971B60"/>
    <w:rsid w:val="009772B0"/>
    <w:rsid w:val="00982F7B"/>
    <w:rsid w:val="00A27589"/>
    <w:rsid w:val="00A3065E"/>
    <w:rsid w:val="00A40A88"/>
    <w:rsid w:val="00A54FBA"/>
    <w:rsid w:val="00AB14E4"/>
    <w:rsid w:val="00AC7F17"/>
    <w:rsid w:val="00AD52F4"/>
    <w:rsid w:val="00AD7FC2"/>
    <w:rsid w:val="00B00D3C"/>
    <w:rsid w:val="00BA3B65"/>
    <w:rsid w:val="00BA66CF"/>
    <w:rsid w:val="00C0519F"/>
    <w:rsid w:val="00C06CCA"/>
    <w:rsid w:val="00C15F88"/>
    <w:rsid w:val="00C27F03"/>
    <w:rsid w:val="00C31E95"/>
    <w:rsid w:val="00C505B6"/>
    <w:rsid w:val="00C70B6A"/>
    <w:rsid w:val="00C93FEC"/>
    <w:rsid w:val="00C972F0"/>
    <w:rsid w:val="00CC6CF9"/>
    <w:rsid w:val="00DE6D06"/>
    <w:rsid w:val="00E0079D"/>
    <w:rsid w:val="00E22406"/>
    <w:rsid w:val="00EE096B"/>
    <w:rsid w:val="00F04DF8"/>
    <w:rsid w:val="00F208FE"/>
    <w:rsid w:val="00FC3AD0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7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26A"/>
  </w:style>
  <w:style w:type="paragraph" w:styleId="Footer">
    <w:name w:val="footer"/>
    <w:basedOn w:val="Normal"/>
    <w:link w:val="FooterChar"/>
    <w:uiPriority w:val="99"/>
    <w:unhideWhenUsed/>
    <w:rsid w:val="006E3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26A"/>
  </w:style>
  <w:style w:type="paragraph" w:styleId="ListParagraph">
    <w:name w:val="List Paragraph"/>
    <w:basedOn w:val="Normal"/>
    <w:uiPriority w:val="34"/>
    <w:qFormat/>
    <w:rsid w:val="002D2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7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26A"/>
  </w:style>
  <w:style w:type="paragraph" w:styleId="Footer">
    <w:name w:val="footer"/>
    <w:basedOn w:val="Normal"/>
    <w:link w:val="FooterChar"/>
    <w:uiPriority w:val="99"/>
    <w:unhideWhenUsed/>
    <w:rsid w:val="006E3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26A"/>
  </w:style>
  <w:style w:type="paragraph" w:styleId="ListParagraph">
    <w:name w:val="List Paragraph"/>
    <w:basedOn w:val="Normal"/>
    <w:uiPriority w:val="34"/>
    <w:qFormat/>
    <w:rsid w:val="002D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s.usda.gov/topics/food-nutrition-assistance/food-security-in-the-us/survey-tools/" TargetMode="External"/><Relationship Id="rId18" Type="http://schemas.openxmlformats.org/officeDocument/2006/relationships/hyperlink" Target="http://www.npr.org/sections/thesalt/2017/05/08/526952657/fresh-food-by-prescription-this-health-care-firm-is-trimming-costs-and-waistlin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hicagohealthatlas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rs.usda.gov/topics/food-nutrition-assistance/food-security-in-the-us/measurement/" TargetMode="External"/><Relationship Id="rId17" Type="http://schemas.openxmlformats.org/officeDocument/2006/relationships/hyperlink" Target="http://www.chicagosfoodbank.org/community-data-map" TargetMode="External"/><Relationship Id="rId25" Type="http://schemas.openxmlformats.org/officeDocument/2006/relationships/hyperlink" Target="https://bmcmedresmethodol.biomedcentral.com/articles/10.1186/1471-2288-14-4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actfinder.census.gov" TargetMode="External"/><Relationship Id="rId20" Type="http://schemas.openxmlformats.org/officeDocument/2006/relationships/hyperlink" Target="https://data.cityofchicago.org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erforhungerfreecommunities.org/sites/default/files/pdfs/2_Item_Screener.pdf" TargetMode="External"/><Relationship Id="rId24" Type="http://schemas.openxmlformats.org/officeDocument/2006/relationships/hyperlink" Target="http://www.csun.edu/~hbsoc126/soc4/chapter_8_outline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dvances.nutrition.org/content/4/5/481.full" TargetMode="External"/><Relationship Id="rId23" Type="http://schemas.openxmlformats.org/officeDocument/2006/relationships/hyperlink" Target="http://journals.sagepub.com/doi/pdf/10.4256/mio.2010.001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rs.usda.gov/media/8282/short2012.pdf" TargetMode="External"/><Relationship Id="rId19" Type="http://schemas.openxmlformats.org/officeDocument/2006/relationships/hyperlink" Target="https://datacatalog.cookcountyil.gov/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ers.usda.gov/topics/food-nutrition-assistance/food-security-in-the-us/survey-tools/" TargetMode="External"/><Relationship Id="rId14" Type="http://schemas.openxmlformats.org/officeDocument/2006/relationships/hyperlink" Target="http://www.fao.org/fileadmin/user_upload/eufao-fsi4dm/doc-training/hfias.pdf" TargetMode="External"/><Relationship Id="rId22" Type="http://schemas.openxmlformats.org/officeDocument/2006/relationships/hyperlink" Target="http://www.psi.org/wp-content/uploads/drupal/sites/default/files/publication_files/Sampling-Hard-To-Reach-Populations-Toolkit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5C2E5-9194-4871-BAB6-89C472E5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McCook</dc:creator>
  <cp:lastModifiedBy>Amy Laboy</cp:lastModifiedBy>
  <cp:revision>2</cp:revision>
  <dcterms:created xsi:type="dcterms:W3CDTF">2017-09-13T22:34:00Z</dcterms:created>
  <dcterms:modified xsi:type="dcterms:W3CDTF">2017-09-13T22:34:00Z</dcterms:modified>
</cp:coreProperties>
</file>